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567"/>
        <w:jc w:val="right"/>
        <w:rPr>
          <w:b/>
          <w:bCs/>
          <w:i/>
          <w:i/>
          <w:iCs/>
          <w:color w:val="FF0000"/>
          <w:sz w:val="42"/>
          <w:szCs w:val="42"/>
        </w:rPr>
      </w:pPr>
      <w:r>
        <w:rPr>
          <w:rFonts w:cs="Times New Roman" w:ascii="Times New Roman" w:hAnsi="Times New Roman"/>
          <w:b/>
          <w:bCs/>
          <w:i/>
          <w:iCs/>
          <w:color w:val="FF0000"/>
          <w:sz w:val="42"/>
          <w:szCs w:val="42"/>
        </w:rPr>
        <w:t>ПРОЕКТ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567"/>
        <w:jc w:val="right"/>
        <w:rPr>
          <w:i/>
          <w:i/>
          <w:iCs/>
          <w:color w:val="CB1919"/>
          <w:sz w:val="40"/>
          <w:szCs w:val="40"/>
        </w:rPr>
      </w:pPr>
      <w:r>
        <w:rPr>
          <w:i/>
          <w:iCs/>
          <w:color w:val="CB1919"/>
          <w:sz w:val="40"/>
          <w:szCs w:val="40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x-none"/>
        </w:rPr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x-none"/>
        </w:rPr>
        <w:t>Положение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x-non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x-none"/>
        </w:rPr>
        <w:t>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x-none"/>
        </w:rPr>
        <w:t xml:space="preserve">региональном этапе Всероссийского профессионального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x-none"/>
        </w:rPr>
        <w:t>конкурс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x-none"/>
        </w:rPr>
        <w:t>а «Воспитатель года России» в 2025 году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16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16"/>
          <w:lang w:eastAsia="x-none"/>
        </w:rPr>
      </w:r>
    </w:p>
    <w:p>
      <w:pPr>
        <w:pStyle w:val="Normal"/>
        <w:widowControl w:val="false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16"/>
          <w:lang w:eastAsia="ru-RU"/>
        </w:rPr>
      </w:r>
    </w:p>
    <w:p>
      <w:pPr>
        <w:pStyle w:val="Normal"/>
        <w:tabs>
          <w:tab w:val="left" w:pos="709" w:leader="none"/>
          <w:tab w:val="left" w:pos="126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регионального этапа Всероссийского профессионального конкурса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 (далее – конкурс).</w:t>
      </w:r>
    </w:p>
    <w:p>
      <w:pPr>
        <w:pStyle w:val="Normal"/>
        <w:tabs>
          <w:tab w:val="left" w:pos="709" w:leader="none"/>
          <w:tab w:val="left" w:pos="126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Организаторы конкурса: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образования Кузбасса;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Кузбасская региональная организация Профессионального союза работников народного образования и науки Российской Федерации.</w:t>
      </w:r>
    </w:p>
    <w:p>
      <w:pPr>
        <w:pStyle w:val="Normal"/>
        <w:tabs>
          <w:tab w:val="left" w:pos="709" w:leader="none"/>
          <w:tab w:val="left" w:pos="126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Конкурс проводится с целью выявления талантливых педагогических работников системы дошкольного образования, их поддержки и поощрения, повышения социального статуса педагогической профессии, распространения педагогического опыта лучших воспитателей Российской Федерации в соответствии с современными тенденциями развития российского образования.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Организационно-методическое, экспертное и информационное сопровождение конкурса обеспечивает государственное образовательное учреждение дополнительного профессионального образования «Институт развития образования Кузбасса» (далее – оператор).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1.5.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x-none"/>
        </w:rPr>
        <w:t>Все мероприятия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конкурс</w:t>
      </w:r>
      <w:r>
        <w:rPr>
          <w:rFonts w:cs="Times New Roman" w:ascii="Times New Roman" w:hAnsi="Times New Roman"/>
          <w:sz w:val="28"/>
          <w:szCs w:val="28"/>
          <w:shd w:fill="FFFFFF" w:val="clear"/>
          <w:lang w:val="x-none"/>
        </w:rPr>
        <w:t>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x-none"/>
        </w:rPr>
        <w:t>являются публичными, транслируются и размещаются 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x-none"/>
        </w:rPr>
        <w:t>сайте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Министерства образования Кузбасса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shd w:fill="FFFFFF" w:val="clear"/>
            <w:lang w:val="x-none"/>
          </w:rPr>
          <w:t>http://образование42.рф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, сайте оператора 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shd w:fill="FFFFFF" w:val="clear"/>
            <w:lang w:val="x-none"/>
          </w:rPr>
          <w:t>https://ipk.kuz-edu.ru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, сайте конкурса </w:t>
      </w:r>
      <w:hyperlink r:id="rId4">
        <w:r>
          <w:rPr>
            <w:rStyle w:val="Hyperlink"/>
            <w:rFonts w:eastAsia="Times New Roman" w:cs="Times New Roman" w:ascii="Times New Roman" w:hAnsi="Times New Roman"/>
            <w:color w:val="auto"/>
            <w:sz w:val="28"/>
            <w:szCs w:val="28"/>
            <w:lang w:eastAsia="ru-RU"/>
          </w:rPr>
          <w:t>https://rg.kuz-edu.ru/luck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1.6. </w:t>
      </w:r>
      <w:r>
        <w:rPr>
          <w:rFonts w:cs="Times New Roman" w:ascii="Times New Roman" w:hAnsi="Times New Roman"/>
          <w:sz w:val="28"/>
          <w:szCs w:val="28"/>
        </w:rPr>
        <w:t>Обеспечение финансирования проведения регионального этапа Всероссийского профессионального конкурса «Воспитатель года России» в 2025 году осуществляется за счет средств государственной программы Кемеровской области - Кузбасса «Развитие системы образования Кузбасса».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Участники конкурса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Принять участие в конкурсе могут педагогические работники образовательных организаций, реализующих образовательные программы дошкольного образования (в т.ч. на родном языке) (далее – ДОО), работающие в должности «воспитатель», со стажем педагогической работы не менее трех лет и осуществляющие свою деятельность на территории Кемеровской области - Кузбасса.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Для участия в конкурсе органами местного самоуправления, осуществляющими управление в сфере образования, направляется один представитель от территории соответствующего муниципального образования – победитель муниципального этапа конкурса, либо, по объективным причинам, иной участник.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Участники конкурса проходят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электронную регистрацию в информационно-телекоммуникационной сети «Интернет» на официальном сайте конкурса </w:t>
      </w:r>
      <w:hyperlink r:id="rId5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https://rg.kuz-edu.ru/luck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(далее – официальный сайт конкурса).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Для участия в конкурсе органы местного самоуправления, осуществляющие управление в сфере образования на территории соответствующего муниципального образования, или участник в установленный организатором срок размещают в личном кабинете на официальном сайте конкурса следующие документы: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представление по форме согласно приложению № 1 к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протокола заседания организационного комитета муниципального этапа конкурса по форме согласно приложению № 2 к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участника конкурса по форме согласно приложению № 3 к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информационную карту в формате Word с включением скан-копии страницы с подписью конкурсанта по форме согласно Приложению № 4 к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скан-копию паспорта участника;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скан-копию трудовой книжки участника (страницы с информацией об актуальном месте работы);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согласите участника регионального этапа Всероссийского профессионального конкурса «Воспитатель года России» в 2025 году на обработку персональных данных по форме согласно приложению № 5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согласие участника регионального этапа Всероссийского профессионального конкурса «Воспитатель года России» в 2025 году на обработку персональных данных, разрешенных субъектом персональных данных для распространения по форме согласно приложению № 6 к настоящему Положению;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портретную фотографию участника в вертикальном формате (формат файла: jpg или png, размер фотографии до 10 Мб).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Кандидат не допускается к участию в конкурсе: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является гражданином Российской Федерации;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является в момент подачи документов «воспитателем» образовательной организации, реализующей образовательные программы дошкольного образования;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занимает должность или исполняет обязанности руководителя/ заместителя руководителя образовательной организации более 6 месяцев до начала конкурса;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ранее становился призером регионального этапа конкурса, и с момента участия прошло менее трех лет;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 неполный комплект документов и материалов или в них содержатся недостоверные сведения;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на участие в конкурсе поступила позже установленного срока.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В случае невозможности принять участие в конкурсе победителя муниципального этапа конкурса по уважительной причине (болезнь, смена места жительства, необходимость ухода за родственниками и т.д.) органы местного самоуправления, осуществляющие управление в сфере образования, могут направить для участия в конкурсе педагога дошкольного образования, занявшего второе место.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На основании материалов, указанных в пункте 2.4 настоящего Положения, оператор формирует списочный состав кандидатов на участие в конкурсе для утверждения организационным комитетом конкурса.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Для участников конкурса проводятся установочный семинар или семинар-тренинг.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Материалы, представленные на конкурс, не возвращаются.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Полномочия организационного комитета, оператора,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жюри конкурса и экспертных групп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Общее руководство конкурсом осуществляет организационный комитет (далее – оргкомитет).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оргкомитета формируется из представителей органов государственной власти Кемеровской области – Кузбасса, Кузбасской региональной организация Профессионального союза работников народного образования и науки Российской Федерации, образовательных организаций, общественных объединений.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состав оргкомитета входит председатель, заместитель председателя, ответственный секретарь и члены оргкомитета. Состав оргкомитета (не более 10 человек) утверждается приказом Министерства образования Кузбасса.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оргкомитета считается правомочным, если на нём присутствуют не менее 50% состава оргкомитета. Решение оргкомитета считается принятым, если за него проголосовало не менее 2/3 присутствующего состава. Решения оргкомитета принимаются открытым голосованием и оформляются протоколом, который подписывается сопредседателями, а в его отсутствие - заместителями сопредседателей оргкомитета.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К полномочиям оргкомитета относятся: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информирует органы местного самоуправления муниципальных образований Кемеровской области – Кузбасса, осуществляющие государственное управление в сфере образования, и педагогическую общественность об условиях проведения конкурса;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обеспечивает освещение проведения конкурса;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утверждает программу конкурса;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утверждает состав жюри конкурса, экспертных групп и регламент их работы;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определяет порядок, форму, место и дату проведения конкурса;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утверждает состав участников конкурса;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утверждает лауреатов и победителя.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</w:t>
      </w:r>
      <w:r>
        <w:rPr>
          <w:rFonts w:cs="Times New Roman" w:ascii="Times New Roman" w:hAnsi="Times New Roman"/>
          <w:sz w:val="28"/>
          <w:szCs w:val="28"/>
        </w:rPr>
        <w:t xml:space="preserve"> К полномочиям оператора относятся в том числе: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комплектации и правильности оформления материалов, поступивших из муниципальных образований Кемеровской области – Кузбасса для участия их представителей в конкурсе;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на основании материалов, поступивших из муниципальных образований Кемеровской области – Кузбасса, списочного состава кандидатов на участие в конкурсе;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организационно-методическое сопровождение конкурса, включая организацию и проведение установочного семинара-тренинга;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работы жюри, подготовку и проведение церемонии открытия, закрытия конкурса и награждения;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3.4. Для оценивания выполнения участниками конкурсных испытаний первого и второго туров формируется жюри.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В состав жюри входят представители </w:t>
      </w:r>
      <w:r>
        <w:rPr>
          <w:rFonts w:cs="Times New Roman" w:ascii="Times New Roman" w:hAnsi="Times New Roman"/>
          <w:sz w:val="28"/>
          <w:szCs w:val="28"/>
        </w:rPr>
        <w:t>Министерства образования Кузбасса</w:t>
      </w:r>
      <w:r>
        <w:rPr>
          <w:rFonts w:cs="Times New Roman" w:ascii="Times New Roman" w:hAnsi="Times New Roman"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органов местного самоуправления, осуществляющих управление в сфере образования</w:t>
      </w:r>
      <w:r>
        <w:rPr>
          <w:rFonts w:cs="Times New Roman" w:ascii="Times New Roman" w:hAnsi="Times New Roman"/>
          <w:bCs/>
          <w:sz w:val="28"/>
          <w:szCs w:val="28"/>
        </w:rPr>
        <w:t>, педагогические и руководящие работники оператора, представители муниципальных методических служб, образовательных и научных организаций, победители и лауреаты конкурсов профессионального мастерства, представители общественных организаций, родительской общественности.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членов жюри конкурса составляет от 10 до 15 человек.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жюри конкурса утверждается протоколом оргкомитета.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полномочиям жюри относятся в том числе: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уровня выполнения участниками конкурсных испытаний первого и второго туров конкурса в соответствии с критериями и показателями оценки;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оформление оценочных листов по конкурсным испытаниям первого и второго туров;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составление рейтинга участников по результатам конкурса и представление результатов на утверждение в оргкомитет.</w:t>
      </w:r>
    </w:p>
    <w:p>
      <w:pPr>
        <w:pStyle w:val="Normal"/>
        <w:spacing w:lineRule="auto" w:line="240" w:before="0" w:after="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Профилактика конфликта интересов в процессе работы жюри конкурса осуществляется следующим образом:</w:t>
      </w:r>
    </w:p>
    <w:p>
      <w:pPr>
        <w:pStyle w:val="Normal"/>
        <w:spacing w:lineRule="auto" w:line="240" w:before="0" w:after="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при оценивании конкурсного испытания член жюри конкурса не может быть представителем того же муниципального образования или образовательной организации, что и конкурсант;</w:t>
      </w:r>
    </w:p>
    <w:p>
      <w:pPr>
        <w:pStyle w:val="Normal"/>
        <w:spacing w:lineRule="auto" w:line="240" w:before="0" w:after="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не допускается делегирование членом жюри своих полномочий по оцениванию другими членами жюри.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Для достижения максимальной объективности в оценке конкурсных испытаний первого тура («Педагогическое мероприятие с детьми»,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«Просветительское мероприятие с родителями») формируется экспертная группа. В состав экспертной группы </w:t>
      </w:r>
      <w:r>
        <w:rPr>
          <w:rFonts w:cs="Times New Roman" w:ascii="Times New Roman" w:hAnsi="Times New Roman"/>
          <w:bCs/>
          <w:sz w:val="28"/>
          <w:szCs w:val="28"/>
        </w:rPr>
        <w:t xml:space="preserve">входят представители </w:t>
      </w:r>
      <w:r>
        <w:rPr>
          <w:rFonts w:cs="Times New Roman" w:ascii="Times New Roman" w:hAnsi="Times New Roman"/>
          <w:sz w:val="28"/>
          <w:szCs w:val="28"/>
        </w:rPr>
        <w:t>Министерства образования Кузбасса</w:t>
      </w:r>
      <w:r>
        <w:rPr>
          <w:rFonts w:cs="Times New Roman" w:ascii="Times New Roman" w:hAnsi="Times New Roman"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органов местного самоуправления, осуществляющих управление в сфере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, педагогические и руководящие работники оператора, представители муниципальных методических служб, образовательных и научных организаций, победители и лауреаты областных конкурсов профессионального мастерства, представители общественных организаций. </w:t>
      </w:r>
      <w:r>
        <w:rPr>
          <w:rFonts w:cs="Times New Roman" w:ascii="Times New Roman" w:hAnsi="Times New Roman"/>
          <w:sz w:val="28"/>
          <w:szCs w:val="28"/>
        </w:rPr>
        <w:t>Количество членов экспертной группы составляет не более 40 человек. Состав экспертной группы утверждается протоколом оргкомитета.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Каждый эксперт имеет один решающий голос и правомочен принимать решение по каждому конкретному вопросу оценивания самостоятельно в рамках своей компетенции и полномочий.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полномочиям экспертной группы относится в том числе: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изучение, анализ представленных участниками на конкурс документов и материалов;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выполнения конкурсных испытаний участниками конкурса в соответствии с критериями и показателями оценки первого тура конкурса («Педагогическое мероприятие с детьми», «Просветительское мероприятие с родителями»);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представление в адрес жюри экспертных заключений по материалам конкурсных испытаний.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В состав жюри и экспертной группы не могут входить одни и те же люди, а также представители тех организаций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в которых работают участники конкурса.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члены жюри обладают равными правами. Каждый эксперт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 Оценочные ведомости архивируются и могут быть использованы для разрешения конфликтных ситуаций и/или протестов против нарушения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Структура конкурсных испытаний,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формат, регламент их проведения, порядок и критерии оценки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Конкурс состоит из заочного и очного этапов.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4.2. Заочный этап конкурса включает экспертизу конкурсного задания видеоролик «Визитная карточка».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Цель конкурсного задания «Визитная карточка»: демонстрация конкурсантом наиболее значимых аспектов своей профессиональной деятельности и педагогической индивидуальности.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 и содержание конкурсного задания: видеоролик продолжительностью до 5 минут. Видеоролик должен отражать объективные сведения о совокупности профессиональных взглядов и позиций педагога дошкольного образования, процессе и результатах профессиональной деятельности, новизне подходов технологий воспитания детей и др. Видеоряд может включать целесообразные фрагменты занятий, обзор мероприятий, интервьюирование участников образовательных отношений, сведения об образовательных и творческих достижениях обучающихся, достижениях и(или) увлечениях участника конкурса.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Организационная схема конкурсного задания: видеоролик создается конкурсантом в заочном режиме и размещается в личном кабинете конкурсанта на официальном сайте конкурса при регистрации.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Технические требования к видеоролику: видеоматериалы участника заочного этапа в формате *.mp4 (продолжительность не более 5 минут), ролик должен быть хорошего качества, содержать информационную заставку с указанием муниципального образования, населенного пункта, образовательной организации, Ф.И.О. конкурсанта.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Критерии оценки конкурсного испытания: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сформированность профессиональных взглядов и позиций педагога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процесс профессиональной деятельности педагога по реализации образовательных программм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результативность образовательных достижений и воспитания обучающихся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4.3. Очный этап конкурса проходит в два тура: первый и второй туры. Конкурсные мероприятия проходят в очном формате.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Первый тур.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Первый тур включает два конкурсных испытания: «Педагогическое мероприятие с детьми» и «Просветительское мероприятие с родителями». 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4.4.1. Конкурсное испытание «Педагогическое мероприятие с детьми».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 конкурсного испытания: демонстрация участником конкурса профессиональных компетенций в области подготовки, проведения и анализа развивающего занятия.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Формат конкурсного испытания: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Возраст детей (группа) и тему мероприятия участник конкурса выбирает при регистрации на официальном сайте конкурса самостоятельно, последовательность выступлений определяется в соответствии с расписанием занятий и распорядком пребывания обучающихся в образовательной организации. Проведение конкурсантом педагогического мероприятия по теме, которая не соответствуют теме и возрастной группе, не оценивается.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связи со спецификой распорядка дня и условиями пребывания обучающихся в ДОО этап самоанализа может быть проведен после окончания всех занятий с детьми.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Регламент конкурсного испытания: проведение занятия – до 20 минут; самоанализ занятия и ответы на вопросы членов жюри – до 10 минут.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Максимальная оценка за конкурсное испытание – 12 баллов.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Критерии оценки конкурсного испытания: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психолого-педагогическая грамотность (0-2 балла);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методическая грамотность (0-2 балла);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реализованность развивающего потенциала занятия (0-2 балла);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целеполагание и результативность (0-2 балла);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рефлексивная культура (0-2 балла);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коммуникативная культура (0-2 балла).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жюри, а также членами экспертной группы в индивидуальной оценочной ведомости. Оценивание производится по 6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4.4.2. Конкурсное испытание «Просветительское мероприятие с родителями».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конкурсного испытания: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 конкурсного испытания: открытая беседа конкурсанта с членами жюри и представителями родительской общественности в формате «вопрос-ответ» с ограниченным кругом целевых вопросов.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Банк вопросов утверждается Оргкомитетом Конкурса.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Комплект вопросов для каждого конкурсанта определяется жеребьёвкой непосредственно перед началом конкурсного испытания.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Очередность выступления конкурсантов определяется жеребьёвкой, проводимой на семинаре-тренинге.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 конкурсного испытания: беседа конкурсанта с членами жюри и представителями родительской общественности – до 10 минут.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Максимальная оценка за конкурсное испытание – 8 баллов.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конкурсного испытания: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сформированность педагогического мышления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владение навыками эффективной коммуникации и выстраивания взаимодействия на основе сотрудничества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владение приёмами формирования педагогической культуры родителей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социальная ответственность и гражданская позиция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жюри, а также членами экспертной группы в индивидуальной оценочной ведомости. Оценивание производится по 4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Второй тур.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Второй тур включает два конкурсных испытания: «Мастер-класс» и «Брифинг».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Конкурсные испытания проводятся на площадке, утверждённой Оргкомитетом в качестве площадки проведения второго тура, в присутствии жюри, участников первого тура и участников второго тура Конкурса.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4.5.1. Конкурсное испытание «Мастер-класс».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конкурсного испытания: демонстрация участником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 конкурсного испытания: учебно-методическое занятие с коллегами, демонстрирующее педагогическое мастерство в области трансляции собственного педагогического опыта, доказавшего эффективность в практической работе.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Тему и форму проведения мастер-класса конкурсанты определяют самостоятельно. Очередность выступлений определяется жеребьёвкой.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Максимальная оценка за конкурсное испытание – 12 баллов.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конкурсного испытания: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методическая обоснованность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практическая значимость и применимость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психолого-педагогическая грамотность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проявленность теоретического и эмпирического мышления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информационная, коммуникативная культура и культура самопрезентации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рефлексивная культура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6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4.5.2. Конкурсное испытание «Брифинг».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конкурсного испытания: демонстрация участниками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 конкурсного испытания: ответы конкурсантов на вопросы интервьюеров из числа студенческой, родительской и профессиональной, общественности в формате брифинга.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Составы групп участников конкурсного испытания и очередность выступления групп определяются жеребьёвкой.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Тема конкурсного испытания для каждой группы определяется жеребьёвкой.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тем для конкурсного испытания «Брифинг» утверждается Оргкомитетом.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 конкурсного испытания: на каждую группу участников конкурсного испытания – не более 35 минут.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 конкурсного испытания и его соответствие регламенту регулируется модератором.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Максимальная оценка за конкурсное испытание – 8 баллов.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конкурсного испытания: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ценностные основания и аргументированность профессионально-личностной позиции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масштабность видения проблем и нестандартность предлагаемых решений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конструктивность позиции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коммуникативная культура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(0-2 балла)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4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Порядок проведения отборочных процедур                                                  и определения победителей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После окончания каждого конкурсного испытания первого тура жюри и экспертной группой производится подсчет баллов, выставленных каждому участнику каждым членом жюри и экспертной группы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и экспертной группы в индивидуальную оценочную ведомость.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По результатам первого тура определяются участники второго тура до 15 человек при условии оценивания их результативности в конкурсных испытаниях не менее 50% от общего количества возможных баллов (не ниже 10 баллов).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После окончания каждого конкурсного испытания второго тура жюри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5.4. После окончания всех конкурсных испытаний жюри на основании выставленных баллов составляет рейтинг участников второго тура по результатам конкурса.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5.5. Четыре конкурсанта – участника второго тура, набравшие наибольшее количество баллов по сумме результатов первого и второго туров и занявшие в рейтинговом списке со второго по пятое места, объявляются лауреатами конкурса.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Один конкурсант, набравший наибольшее количество баллов по сумме результатов первого и второго туров и занявший в рейтинговом списке первое место, объявляется победителем конкурса.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4"/>
        </w:rPr>
        <w:t>5.6. Участники к</w:t>
      </w:r>
      <w:r>
        <w:rPr>
          <w:rFonts w:cs="Times New Roman" w:ascii="Times New Roman" w:hAnsi="Times New Roman"/>
          <w:sz w:val="28"/>
          <w:szCs w:val="28"/>
        </w:rPr>
        <w:t>онкурса получают сертификаты, победитель и лауреаты награждаются дипломами Министерства образования Кузбасса.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Победитель представляет Кемеровскую область–Кузбасс на заключительном этапе Всероссийского профессионального конкурса «Воспитатель года России» в 2026 году.</w:t>
      </w:r>
    </w:p>
    <w:p>
      <w:pPr>
        <w:pStyle w:val="Normal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ПРЕДСТАВЛЕНИЕ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организационный комитет регионального этапа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 w:right="-14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участия в региональном этапе Всероссийского профессионального конкурса 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(полное наименование выдвигающих органов)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выдвигает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(ФИО полностью, должность и место работы)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________________________________________________________________, победителя_______________________________________________________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(название муниципального конкурса)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органа местного самоуправления,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осуществляющего управление в сфере образования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(ФИО) ___________________/___________________/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подпись </w:t>
        <w:tab/>
        <w:tab/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«____»___________________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ВЫПИСКА ИЗ ПРОТОКОЛА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заседания организационного комитета муниципального этапа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Всероссийского профессионального конкурса 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u w:val="single"/>
          <w:lang w:eastAsia="ru-RU"/>
        </w:rPr>
        <w:t>(территория)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СЛУШАЛИ: О выдвижении кандидатуры на участие в региональном этапе Всероссийского профессионального конкурса «Воспитатель года России» в 2025 году.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РЕШИЛИ: Выдвинуть на участие в региональном этапе Всероссийского профессионального конкурса «Воспитатель года России» в 2025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(фамилия, имя, отчество)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Занявшего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место* на муниципальном этапе Всероссийского профессионального конкурса «Воспитатель года России»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(наименование муниципального образования)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«ЗА»:__ чел.     «ПРОТИВ»:__ чел.   «ВОЗДЕРЖАЛИСЬ»:__ чел.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                                                                  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организационного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(подпись)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комитета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(указать должность, ФИО)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М.П.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*По объективным причинам допускается выдвижение иного участника (по решению муниципального этапа Всероссийского профессионального конкурса «Воспитатель года России»)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3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организационный комитет регионального этапа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ФИО в родительном падеже, должность)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(наименование муниципального образования)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(фамилия, имя, отчество)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даю согласие на участие в региональном этапе Всероссийского профессионального конкурса «Воспитатель года России» 2024 года и внесение сведений, указанных в информационной карте участника регионального этапа, представленной в организационный комитет регионального этапа Всероссийского профессионального конкурса «Воспитатель года России» в 2025 году, в базу данных об участниках регионального этапа конкурса и использование, за исключением разделов 8 – 10 («Контакты», «Документы»), в некоммерческих целях для размещения в Интернете, буклетах и периодических изданиях с возможностью редакторской обработки.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«__»__________2025 г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.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(подпись)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4  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Информационная карта участника регионального этапа Всероссийского профессионального конкурса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1"/>
        <w:gridCol w:w="356"/>
        <w:gridCol w:w="4627"/>
      </w:tblGrid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2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 Работа</w:t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Общий трудовой стаж (полных лет на момент заполнения)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Общий педагогический стаж (полных лет на момент заполнения)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Послужной список (места и сроки работы за последние 5 лет)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 Образование</w:t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Знание иностранных языков, укажите уровень владения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Наличие ученой степени, группа научных специальностей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5. Семья</w:t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Дети (пол и возраст)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6. Досуг</w:t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7. Интересные сведения о себе, не отраженные в предыдущих пунктах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(до 2000 знаков с пробелам)</w:t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8. Контакты</w:t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Факс с международным кодом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Адрес сайта образовательной организации, реализующей образовательные программы дошкольного образования, в сети «Интернет»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Адреса в Интернете (сайт, блог, страницы в социальных сетях, и т.д.), где можно познакомиться с участником и публикуемыми им материалами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9. Документы</w:t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подтверждаю:_________________(___________________________)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(подпись)                          (фамилия, имя, отчество участника)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«__»_______________2025 г.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5  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участника регионального этапа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Всероссийского профессионального конкурса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«Воспитатель года России» в 2025 году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«__»___________2025 г.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(фамилия, имя, отчество полностью)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серия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_выдан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(вид документа, удостоверяющего личность)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(кем и когда)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проживающий(-ая) по адресу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пунктом 4 статьи 9 Федерального закона от 27.07.2006 № 152-ФЗ «О персональных данных» даю согласие оператору регионального этапа Всероссийского профессионального конкурса «Воспитатель года России» в 2024 году (далее – конкурс)  – государственному образовательному учреждению дополнительного профессионального образования «</w:t>
      </w:r>
      <w:r>
        <w:rPr>
          <w:rFonts w:cs="Times New Roman" w:ascii="Times New Roman" w:hAnsi="Times New Roman"/>
          <w:sz w:val="28"/>
          <w:szCs w:val="28"/>
        </w:rPr>
        <w:t>Институт развития образования Кузбасса», расположенному по адресу: 650070, г. Кемерово, ул. Заузелкова, дом 3 (далее – оператор), на автоматизированную, а также без использования средств автоматизации обработку  моих персональных данных, а именно: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фамилия, имя, отчество; пол, возраст; дата и место рождения; паспортные данные; семейное положение; адрес регистрации по месту 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подготовке, сведения о повышении квалификации; профессия и любая иная информация, относящаяся к моей личности; фото- и видеоизображение.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Обработка персональных данных осуществляется в целях: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организации и проведения конкурса;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обеспечения моего участия в конкурсе;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обеспечения соблюдения законов и иных нормативных правовых актов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третьим лицам)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     ________________             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(дата)                                      (подпись)                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6 </w:t>
      </w:r>
    </w:p>
    <w:p>
      <w:pPr>
        <w:pStyle w:val="Normal"/>
        <w:spacing w:lineRule="auto" w:line="240" w:before="0" w:after="0"/>
        <w:ind w:firstLine="709"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</w:t>
      </w:r>
      <w:r>
        <w:rPr>
          <w:rFonts w:cs="Times New Roman" w:ascii="Times New Roman" w:hAnsi="Times New Roman"/>
          <w:sz w:val="28"/>
          <w:szCs w:val="28"/>
        </w:rPr>
        <w:t xml:space="preserve">региональном этапе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профессионального конкурса </w:t>
      </w:r>
    </w:p>
    <w:p>
      <w:pPr>
        <w:pStyle w:val="Normal"/>
        <w:tabs>
          <w:tab w:val="clear" w:pos="709"/>
          <w:tab w:val="left" w:pos="3840" w:leader="none"/>
        </w:tabs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 года России» в 2025 году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участника регионального этапа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Всероссийского профессионального конкурса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«Воспитатель года России» в 2025 году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обработку персональных данных, разрешенных субъектом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персональных данных для распространения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«__»___________2025 г.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(фамилия, имя, отчество полностью)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серия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_выдан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(вид документа, удостоверяющего личность)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(кем и когда)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проживающий(-ая) по адресу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10.1  Федерального закона от 27.07.2006         № 152-ФЗ «О персональных данных» даю согласие оператору регионального этапа Всероссийского профессионального конкурса «Воспитатель года России» в 2024 году (далее – конкурс) – государственному образовательному учреждению дополнительного профессионального образования (повышения квалификации) специалистов «Институт развития образования», расположенному по адресу: 650070, г. Кемерово, ул. Заузелкова, дом 3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пол, возраст; дата и место рождения; семейное положение; данные документов об образовании, квалификации, профессиональной подготовке, сведения о повышении квалификации; профессия и любая иная информация, относящаяся к моей личности; фото- и видеоизображение.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     ________________             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(дата)                                      (подпись)                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headerReference w:type="even" r:id="rId6"/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701" w:right="850" w:gutter="0" w:header="708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i/>
          <w:i/>
        </w:rPr>
      </w:pPr>
      <w:r>
        <w:rPr>
          <w:rStyle w:val="Style20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</w:rPr>
        <w:t>Поля информационной карты, выделенные курсивом, не обязательны для заполнения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588504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588504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1e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04a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50d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b69"/>
    <w:rPr>
      <w:color w:themeColor="followedHyperlink" w:val="954F72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2364b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2364b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7479c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7479c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07479c"/>
    <w:rPr>
      <w:b/>
      <w:bCs/>
      <w:sz w:val="20"/>
      <w:szCs w:val="20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07479c"/>
    <w:rPr>
      <w:sz w:val="20"/>
      <w:szCs w:val="20"/>
    </w:rPr>
  </w:style>
  <w:style w:type="character" w:styleId="Style20">
    <w:name w:val="Символ сноски"/>
    <w:uiPriority w:val="99"/>
    <w:semiHidden/>
    <w:unhideWhenUsed/>
    <w:qFormat/>
    <w:rsid w:val="000747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6e21"/>
    <w:rPr>
      <w:color w:val="605E5C"/>
      <w:shd w:fill="E1DFDD" w:val="clear"/>
    </w:rPr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04a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71c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2364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c2364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rsid w:val="0007479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07479c"/>
    <w:pPr/>
    <w:rPr>
      <w:b/>
      <w:bCs/>
    </w:rPr>
  </w:style>
  <w:style w:type="paragraph" w:styleId="FootnoteText">
    <w:name w:val="footnote text"/>
    <w:basedOn w:val="Normal"/>
    <w:link w:val="Style19"/>
    <w:uiPriority w:val="99"/>
    <w:semiHidden/>
    <w:unhideWhenUsed/>
    <w:rsid w:val="0007479c"/>
    <w:pPr>
      <w:spacing w:lineRule="auto" w:line="240" w:before="0" w:after="0"/>
    </w:pPr>
    <w:rPr>
      <w:sz w:val="20"/>
      <w:szCs w:val="20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e5c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&#1086;&#1073;&#1088;&#1072;&#1079;&#1086;&#1074;&#1072;&#1085;&#1080;&#1077;42.&#1088;&#1092;" TargetMode="External"/><Relationship Id="rId3" Type="http://schemas.openxmlformats.org/officeDocument/2006/relationships/hyperlink" Target="https://ipk.kuz-edu.ru/" TargetMode="External"/><Relationship Id="rId4" Type="http://schemas.openxmlformats.org/officeDocument/2006/relationships/hyperlink" Target="https://rg.kuz-edu.ru/luck" TargetMode="External"/><Relationship Id="rId5" Type="http://schemas.openxmlformats.org/officeDocument/2006/relationships/hyperlink" Target="https://rg.kuz-edu.ru/luck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996A-EA20-4A8A-94F1-A1C7538A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LibreOffice/24.8.4.2$Linux_X86_64 LibreOffice_project/480$Build-2</Application>
  <AppVersion>15.0000</AppVersion>
  <Pages>19</Pages>
  <Words>3847</Words>
  <Characters>30088</Characters>
  <CharactersWithSpaces>34683</CharactersWithSpaces>
  <Paragraphs>345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dc:language>ru-RU</dc:language>
  <cp:lastModifiedBy/>
  <dcterms:modified xsi:type="dcterms:W3CDTF">2025-10-24T14:12:27Z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